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3"/>
        <w:numPr>
          <w:ilvl w:val="2"/>
          <w:numId w:val="1"/>
        </w:numPr>
        <w:spacing w:before="140" w:after="120"/>
        <w:ind w:hanging="0" w:start="0"/>
        <w:rPr/>
      </w:pPr>
      <w:r>
        <w:rPr/>
        <w:t>Permohonan Persetujuan Etika Penelitian:</w:t>
        <w:br/>
      </w:r>
      <w:r>
        <w:rPr/>
        <w:t>Artikel Penelitian Focus Group</w:t>
      </w:r>
    </w:p>
    <w:p>
      <w:pPr>
        <w:pStyle w:val="BodyText"/>
        <w:rPr/>
      </w:pPr>
      <w:r>
        <w:rPr/>
        <w:t>Panitia Etika Penelitian, Worldwide University.</w:t>
      </w:r>
    </w:p>
    <w:p>
      <w:pPr>
        <w:pStyle w:val="BodyText"/>
        <w:jc w:val="end"/>
        <w:rPr>
          <w:sz w:val="18"/>
          <w:szCs w:val="18"/>
        </w:rPr>
      </w:pPr>
      <w:r>
        <w:rPr>
          <w:sz w:val="18"/>
          <w:szCs w:val="18"/>
        </w:rPr>
        <w:t>Ver. 2 Ag ‘26</w:t>
      </w:r>
    </w:p>
    <w:p>
      <w:pPr>
        <w:pStyle w:val="Heading4"/>
        <w:numPr>
          <w:ilvl w:val="3"/>
          <w:numId w:val="1"/>
        </w:numPr>
        <w:rPr/>
      </w:pPr>
      <w:r>
        <w:rPr/>
        <w:t>P</w:t>
      </w:r>
      <w:r>
        <w:rPr/>
        <w:t>rosedur</w:t>
      </w:r>
    </w:p>
    <w:p>
      <w:pPr>
        <w:pStyle w:val="Normal"/>
        <w:spacing w:before="0" w:after="170"/>
        <w:rPr/>
      </w:pPr>
      <w:r>
        <w:rPr/>
        <w:t>Isilah formulir ini dan kirimkalah kepada pembimbing. Bila disetujui pembimbing, akan dikirim kepada Panitia Etika Penelitian WU.</w:t>
      </w:r>
    </w:p>
    <w:tbl>
      <w:tblPr>
        <w:tblW w:w="5000" w:type="pct"/>
        <w:jc w:val="start"/>
        <w:tblInd w:w="0" w:type="dxa"/>
        <w:tblLayout w:type="fixed"/>
        <w:tblCellMar>
          <w:top w:w="57" w:type="dxa"/>
          <w:start w:w="57" w:type="dxa"/>
          <w:bottom w:w="57" w:type="dxa"/>
          <w:end w:w="57" w:type="dxa"/>
        </w:tblCellMar>
      </w:tblPr>
      <w:tblGrid>
        <w:gridCol w:w="2687"/>
        <w:gridCol w:w="6271"/>
      </w:tblGrid>
      <w:tr>
        <w:trPr/>
        <w:tc>
          <w:tcPr>
            <w:tcW w:w="2687" w:type="dxa"/>
            <w:tcBorders/>
          </w:tcPr>
          <w:p>
            <w:pPr>
              <w:pStyle w:val="Normal"/>
              <w:jc w:val="end"/>
              <w:rPr/>
            </w:pPr>
            <w:r>
              <w:rPr/>
              <w:t xml:space="preserve">Nama </w:t>
            </w:r>
            <w:r>
              <w:rPr/>
              <w:t>lengkap</w:t>
              <w:br/>
              <w:t>(sesuai dengan KTP)</w:t>
            </w:r>
            <w:r>
              <w:rPr/>
              <w:t xml:space="preserve">: </w:t>
            </w:r>
          </w:p>
        </w:tc>
        <w:tc>
          <w:tcPr>
            <w:tcW w:w="6271" w:type="dxa"/>
            <w:tcBorders>
              <w:top w:val="single" w:sz="2" w:space="0" w:color="000000"/>
              <w:start w:val="single" w:sz="2" w:space="0" w:color="000000"/>
              <w:bottom w:val="single" w:sz="2" w:space="0" w:color="000000"/>
              <w:end w:val="single" w:sz="2" w:space="0" w:color="000000"/>
            </w:tcBorders>
          </w:tcPr>
          <w:p>
            <w:pPr>
              <w:pStyle w:val="Normal"/>
              <w:rPr/>
            </w:pPr>
            <w:r>
              <w:rPr/>
            </w:r>
          </w:p>
        </w:tc>
      </w:tr>
      <w:tr>
        <w:trPr/>
        <w:tc>
          <w:tcPr>
            <w:tcW w:w="2687" w:type="dxa"/>
            <w:tcBorders/>
          </w:tcPr>
          <w:p>
            <w:pPr>
              <w:pStyle w:val="Normal"/>
              <w:jc w:val="end"/>
              <w:rPr/>
            </w:pPr>
            <w:r>
              <w:rPr/>
              <w:t>Tanggal:</w:t>
            </w:r>
          </w:p>
        </w:tc>
        <w:tc>
          <w:tcPr>
            <w:tcW w:w="6271" w:type="dxa"/>
            <w:tcBorders>
              <w:start w:val="single" w:sz="2" w:space="0" w:color="000000"/>
              <w:bottom w:val="single" w:sz="2" w:space="0" w:color="000000"/>
              <w:end w:val="single" w:sz="2" w:space="0" w:color="000000"/>
            </w:tcBorders>
          </w:tcPr>
          <w:p>
            <w:pPr>
              <w:pStyle w:val="Normal"/>
              <w:rPr/>
            </w:pPr>
            <w:r>
              <w:rPr/>
            </w:r>
          </w:p>
        </w:tc>
      </w:tr>
      <w:tr>
        <w:trPr/>
        <w:tc>
          <w:tcPr>
            <w:tcW w:w="2687" w:type="dxa"/>
            <w:tcBorders/>
          </w:tcPr>
          <w:p>
            <w:pPr>
              <w:pStyle w:val="Normal"/>
              <w:jc w:val="end"/>
              <w:rPr/>
            </w:pPr>
            <w:r>
              <w:rPr/>
              <w:t>Topik penelitian:</w:t>
            </w:r>
          </w:p>
        </w:tc>
        <w:tc>
          <w:tcPr>
            <w:tcW w:w="6271" w:type="dxa"/>
            <w:tcBorders>
              <w:start w:val="single" w:sz="2" w:space="0" w:color="000000"/>
              <w:bottom w:val="single" w:sz="2" w:space="0" w:color="000000"/>
              <w:end w:val="single" w:sz="2" w:space="0" w:color="000000"/>
            </w:tcBorders>
          </w:tcPr>
          <w:p>
            <w:pPr>
              <w:pStyle w:val="Normal"/>
              <w:rPr/>
            </w:pPr>
            <w:r>
              <w:rPr/>
            </w:r>
          </w:p>
        </w:tc>
      </w:tr>
      <w:tr>
        <w:trPr/>
        <w:tc>
          <w:tcPr>
            <w:tcW w:w="2687" w:type="dxa"/>
            <w:tcBorders/>
          </w:tcPr>
          <w:p>
            <w:pPr>
              <w:pStyle w:val="Normal"/>
              <w:jc w:val="end"/>
              <w:rPr/>
            </w:pPr>
            <w:r>
              <w:rPr/>
              <w:t>Pertanyaan penelitian:</w:t>
            </w:r>
          </w:p>
        </w:tc>
        <w:tc>
          <w:tcPr>
            <w:tcW w:w="6271" w:type="dxa"/>
            <w:tcBorders>
              <w:start w:val="single" w:sz="2" w:space="0" w:color="000000"/>
              <w:bottom w:val="single" w:sz="2" w:space="0" w:color="000000"/>
              <w:end w:val="single" w:sz="2" w:space="0" w:color="000000"/>
            </w:tcBorders>
          </w:tcPr>
          <w:p>
            <w:pPr>
              <w:pStyle w:val="Normal"/>
              <w:rPr/>
            </w:pPr>
            <w:r>
              <w:rPr/>
            </w:r>
          </w:p>
        </w:tc>
      </w:tr>
      <w:tr>
        <w:trPr/>
        <w:tc>
          <w:tcPr>
            <w:tcW w:w="2687" w:type="dxa"/>
            <w:tcBorders/>
          </w:tcPr>
          <w:p>
            <w:pPr>
              <w:pStyle w:val="Normal"/>
              <w:jc w:val="end"/>
              <w:rPr/>
            </w:pPr>
            <w:r>
              <w:rPr/>
              <w:t>Populasi:</w:t>
            </w:r>
          </w:p>
        </w:tc>
        <w:tc>
          <w:tcPr>
            <w:tcW w:w="6271" w:type="dxa"/>
            <w:tcBorders>
              <w:start w:val="single" w:sz="2" w:space="0" w:color="000000"/>
              <w:bottom w:val="single" w:sz="2" w:space="0" w:color="000000"/>
              <w:end w:val="single" w:sz="2" w:space="0" w:color="000000"/>
            </w:tcBorders>
          </w:tcPr>
          <w:p>
            <w:pPr>
              <w:pStyle w:val="Normal"/>
              <w:rPr/>
            </w:pPr>
            <w:r>
              <w:rPr/>
            </w:r>
          </w:p>
        </w:tc>
      </w:tr>
      <w:tr>
        <w:trPr/>
        <w:tc>
          <w:tcPr>
            <w:tcW w:w="2687" w:type="dxa"/>
            <w:tcBorders/>
          </w:tcPr>
          <w:p>
            <w:pPr>
              <w:pStyle w:val="Normal"/>
              <w:jc w:val="end"/>
              <w:rPr/>
            </w:pPr>
            <w:r>
              <w:rPr/>
              <w:t>Siapa responden?</w:t>
            </w:r>
          </w:p>
        </w:tc>
        <w:tc>
          <w:tcPr>
            <w:tcW w:w="6271" w:type="dxa"/>
            <w:tcBorders>
              <w:start w:val="single" w:sz="2" w:space="0" w:color="000000"/>
              <w:bottom w:val="single" w:sz="2" w:space="0" w:color="000000"/>
              <w:end w:val="single" w:sz="2" w:space="0" w:color="000000"/>
            </w:tcBorders>
          </w:tcPr>
          <w:p>
            <w:pPr>
              <w:pStyle w:val="Normal"/>
              <w:rPr/>
            </w:pPr>
            <w:r>
              <w:rPr/>
            </w:r>
          </w:p>
        </w:tc>
      </w:tr>
      <w:tr>
        <w:trPr/>
        <w:tc>
          <w:tcPr>
            <w:tcW w:w="2687" w:type="dxa"/>
            <w:tcBorders/>
          </w:tcPr>
          <w:p>
            <w:pPr>
              <w:pStyle w:val="Normal"/>
              <w:jc w:val="end"/>
              <w:rPr/>
            </w:pPr>
            <w:r>
              <w:rPr/>
              <w:t>Berapa kelompok fokus group:</w:t>
            </w:r>
          </w:p>
        </w:tc>
        <w:tc>
          <w:tcPr>
            <w:tcW w:w="6271" w:type="dxa"/>
            <w:tcBorders>
              <w:start w:val="single" w:sz="2" w:space="0" w:color="000000"/>
              <w:bottom w:val="single" w:sz="2" w:space="0" w:color="000000"/>
              <w:end w:val="single" w:sz="2" w:space="0" w:color="000000"/>
            </w:tcBorders>
          </w:tcPr>
          <w:p>
            <w:pPr>
              <w:pStyle w:val="Normal"/>
              <w:rPr/>
            </w:pPr>
            <w:r>
              <w:rPr/>
            </w:r>
          </w:p>
        </w:tc>
      </w:tr>
      <w:tr>
        <w:trPr/>
        <w:tc>
          <w:tcPr>
            <w:tcW w:w="2687" w:type="dxa"/>
            <w:tcBorders/>
          </w:tcPr>
          <w:p>
            <w:pPr>
              <w:pStyle w:val="Normal"/>
              <w:jc w:val="end"/>
              <w:rPr/>
            </w:pPr>
            <w:r>
              <w:rPr/>
              <w:t>Jumlah responden</w:t>
              <w:br/>
            </w:r>
            <w:r>
              <w:rPr/>
              <w:t>(kira-kira)</w:t>
            </w:r>
            <w:r>
              <w:rPr/>
              <w:t>:</w:t>
            </w:r>
          </w:p>
        </w:tc>
        <w:tc>
          <w:tcPr>
            <w:tcW w:w="6271" w:type="dxa"/>
            <w:tcBorders>
              <w:start w:val="single" w:sz="2" w:space="0" w:color="000000"/>
              <w:bottom w:val="single" w:sz="2" w:space="0" w:color="000000"/>
              <w:end w:val="single" w:sz="2" w:space="0" w:color="000000"/>
            </w:tcBorders>
          </w:tcPr>
          <w:p>
            <w:pPr>
              <w:pStyle w:val="Normal"/>
              <w:rPr/>
            </w:pPr>
            <w:r>
              <w:rPr/>
            </w:r>
          </w:p>
        </w:tc>
      </w:tr>
      <w:tr>
        <w:trPr/>
        <w:tc>
          <w:tcPr>
            <w:tcW w:w="2687" w:type="dxa"/>
            <w:tcBorders/>
          </w:tcPr>
          <w:p>
            <w:pPr>
              <w:pStyle w:val="Normal"/>
              <w:jc w:val="end"/>
              <w:rPr/>
            </w:pPr>
            <w:r>
              <w:rPr/>
              <w:t>Konteks:</w:t>
            </w:r>
          </w:p>
        </w:tc>
        <w:tc>
          <w:tcPr>
            <w:tcW w:w="6271" w:type="dxa"/>
            <w:tcBorders>
              <w:start w:val="single" w:sz="2" w:space="0" w:color="000000"/>
              <w:bottom w:val="single" w:sz="2" w:space="0" w:color="000000"/>
              <w:end w:val="single" w:sz="2" w:space="0" w:color="000000"/>
            </w:tcBorders>
          </w:tcPr>
          <w:p>
            <w:pPr>
              <w:pStyle w:val="Normal"/>
              <w:rPr/>
            </w:pPr>
            <w:r>
              <w:rPr/>
            </w:r>
          </w:p>
        </w:tc>
      </w:tr>
      <w:tr>
        <w:trPr/>
        <w:tc>
          <w:tcPr>
            <w:tcW w:w="2687" w:type="dxa"/>
            <w:tcBorders/>
          </w:tcPr>
          <w:p>
            <w:pPr>
              <w:pStyle w:val="Normal"/>
              <w:jc w:val="end"/>
              <w:rPr/>
            </w:pPr>
            <w:r>
              <w:rPr/>
              <w:t>Daftar Pertanyaan untuk Focus Group:</w:t>
            </w:r>
          </w:p>
        </w:tc>
        <w:tc>
          <w:tcPr>
            <w:tcW w:w="6271" w:type="dxa"/>
            <w:tcBorders>
              <w:start w:val="single" w:sz="2" w:space="0" w:color="000000"/>
              <w:bottom w:val="single" w:sz="2" w:space="0" w:color="000000"/>
              <w:end w:val="single" w:sz="2" w:space="0" w:color="000000"/>
            </w:tcBorders>
          </w:tcPr>
          <w:p>
            <w:pPr>
              <w:pStyle w:val="Normal"/>
              <w:rPr/>
            </w:pPr>
            <w:r>
              <w:rPr/>
            </w:r>
          </w:p>
        </w:tc>
      </w:tr>
    </w:tbl>
    <w:p>
      <w:pPr>
        <w:pStyle w:val="Normal"/>
        <w:rPr/>
      </w:pPr>
      <w:r>
        <w:rPr/>
      </w:r>
    </w:p>
    <w:p>
      <w:pPr>
        <w:pStyle w:val="Heading2"/>
        <w:numPr>
          <w:ilvl w:val="1"/>
          <w:numId w:val="1"/>
        </w:numPr>
        <w:ind w:hanging="0" w:start="0"/>
        <w:rPr/>
      </w:pPr>
      <w:r>
        <w:rPr/>
        <w:t>Protokol Etika Penelitian</w:t>
      </w:r>
      <w:r>
        <w:rPr>
          <w:rStyle w:val="FootnoteReference"/>
        </w:rPr>
        <w:footnoteReference w:id="2"/>
      </w:r>
    </w:p>
    <w:p>
      <w:pPr>
        <w:pStyle w:val="Heading4"/>
        <w:numPr>
          <w:ilvl w:val="3"/>
          <w:numId w:val="1"/>
        </w:numPr>
        <w:rPr/>
      </w:pPr>
      <w:r>
        <w:rPr/>
        <w:t>Peninjauan dan Persetujuan Institusi</w:t>
      </w:r>
    </w:p>
    <w:p>
      <w:pPr>
        <w:pStyle w:val="BodyText"/>
        <w:rPr/>
      </w:pPr>
      <w:r>
        <w:rPr/>
        <w:t>Peneliti tidak akan merekrut peserta, mengumpulkan data, atau memulai kegiatan penelitian lain yang melibatkan peserta sebelum menerima persetujuan tertulis.</w:t>
      </w:r>
    </w:p>
    <w:p>
      <w:pPr>
        <w:pStyle w:val="Heading4"/>
        <w:numPr>
          <w:ilvl w:val="3"/>
          <w:numId w:val="1"/>
        </w:numPr>
        <w:rPr/>
      </w:pPr>
      <w:r>
        <w:rPr/>
        <w:t>Partisipasi Sukarela dan Persetujuan Setelah Penjelasan (Informed Consent)</w:t>
      </w:r>
    </w:p>
    <w:p>
      <w:pPr>
        <w:pStyle w:val="BodyText"/>
        <w:rPr/>
      </w:pPr>
      <w:r>
        <w:rPr/>
        <w:t>Sebelum peserta menyetujui untuk berpartisipasi, peneliti akan menjelaskan:</w:t>
      </w:r>
    </w:p>
    <w:p>
      <w:pPr>
        <w:pStyle w:val="BodyText"/>
        <w:numPr>
          <w:ilvl w:val="0"/>
          <w:numId w:val="2"/>
        </w:numPr>
        <w:tabs>
          <w:tab w:val="clear" w:pos="709"/>
          <w:tab w:val="left" w:pos="0" w:leader="none"/>
        </w:tabs>
        <w:ind w:hanging="283" w:start="709"/>
        <w:rPr/>
      </w:pPr>
      <w:r>
        <w:rPr/>
        <w:t>tujuan dan ruang lingkup penelitian;</w:t>
      </w:r>
    </w:p>
    <w:p>
      <w:pPr>
        <w:pStyle w:val="BodyText"/>
        <w:numPr>
          <w:ilvl w:val="0"/>
          <w:numId w:val="2"/>
        </w:numPr>
        <w:tabs>
          <w:tab w:val="clear" w:pos="709"/>
          <w:tab w:val="left" w:pos="0" w:leader="none"/>
        </w:tabs>
        <w:ind w:hanging="283" w:start="709"/>
        <w:rPr/>
      </w:pPr>
      <w:r>
        <w:rPr/>
        <w:t>apa saja yang akan dilakukan peserta dalam penelitian;</w:t>
      </w:r>
    </w:p>
    <w:p>
      <w:pPr>
        <w:pStyle w:val="BodyText"/>
        <w:numPr>
          <w:ilvl w:val="0"/>
          <w:numId w:val="2"/>
        </w:numPr>
        <w:tabs>
          <w:tab w:val="clear" w:pos="709"/>
          <w:tab w:val="left" w:pos="0" w:leader="none"/>
        </w:tabs>
        <w:ind w:hanging="283" w:start="709"/>
        <w:rPr/>
      </w:pPr>
      <w:r>
        <w:rPr/>
        <w:t>bagaimana peneliti akan menggunakan dan melindungi data;</w:t>
      </w:r>
    </w:p>
    <w:p>
      <w:pPr>
        <w:pStyle w:val="BodyText"/>
        <w:numPr>
          <w:ilvl w:val="0"/>
          <w:numId w:val="2"/>
        </w:numPr>
        <w:tabs>
          <w:tab w:val="clear" w:pos="709"/>
          <w:tab w:val="left" w:pos="0" w:leader="none"/>
        </w:tabs>
        <w:ind w:hanging="283" w:start="709"/>
        <w:rPr/>
      </w:pPr>
      <w:r>
        <w:rPr/>
        <w:t>bahwa partisipasi sepenuhnya bersifat sukarela;</w:t>
      </w:r>
    </w:p>
    <w:p>
      <w:pPr>
        <w:pStyle w:val="BodyText"/>
        <w:numPr>
          <w:ilvl w:val="0"/>
          <w:numId w:val="2"/>
        </w:numPr>
        <w:tabs>
          <w:tab w:val="clear" w:pos="709"/>
          <w:tab w:val="left" w:pos="0" w:leader="none"/>
        </w:tabs>
        <w:ind w:hanging="283" w:start="709"/>
        <w:rPr/>
      </w:pPr>
      <w:r>
        <w:rPr/>
        <w:t>bahwa peserta dapat mengundurkan diri kapan saja tanpa memberikan alasan dan tanpa mengalami kerugian akademik, pekerjaan, profesional, pribadi, atau kerugian lainnya;</w:t>
      </w:r>
    </w:p>
    <w:p>
      <w:pPr>
        <w:pStyle w:val="BodyText"/>
        <w:numPr>
          <w:ilvl w:val="0"/>
          <w:numId w:val="2"/>
        </w:numPr>
        <w:tabs>
          <w:tab w:val="clear" w:pos="709"/>
          <w:tab w:val="left" w:pos="0" w:leader="none"/>
        </w:tabs>
        <w:ind w:hanging="283" w:start="709"/>
        <w:rPr/>
      </w:pPr>
      <w:r>
        <w:rPr/>
        <w:t>bahwa peserta tidak harus menjawab pertanyaan yang tidak ingin mereka jawab; dan</w:t>
      </w:r>
    </w:p>
    <w:p>
      <w:pPr>
        <w:pStyle w:val="BodyText"/>
        <w:numPr>
          <w:ilvl w:val="0"/>
          <w:numId w:val="2"/>
        </w:numPr>
        <w:tabs>
          <w:tab w:val="clear" w:pos="709"/>
          <w:tab w:val="left" w:pos="0" w:leader="none"/>
        </w:tabs>
        <w:ind w:hanging="283" w:start="709"/>
        <w:rPr/>
      </w:pPr>
      <w:r>
        <w:rPr/>
        <w:t>bahwa penelitian ini tidak menimbulkan risiko yang lebih besar daripada kegiatan normal sehari-hari.</w:t>
      </w:r>
    </w:p>
    <w:p>
      <w:pPr>
        <w:pStyle w:val="BodyText"/>
        <w:rPr/>
      </w:pPr>
      <w:r>
        <w:rPr/>
        <w:t>Peneliti akan memperoleh informed consent dari setiap peserta sebelum memulai kegiatan penelitian apa pun.</w:t>
      </w:r>
    </w:p>
    <w:p>
      <w:pPr>
        <w:pStyle w:val="Heading4"/>
        <w:numPr>
          <w:ilvl w:val="3"/>
          <w:numId w:val="1"/>
        </w:numPr>
        <w:rPr/>
      </w:pPr>
      <w:r>
        <w:rPr/>
        <w:t>Perlindungan terhadap Paksaan dan Pengaruh yang Tidak Semestinya</w:t>
      </w:r>
    </w:p>
    <w:p>
      <w:pPr>
        <w:pStyle w:val="BodyText"/>
        <w:rPr/>
      </w:pPr>
      <w:r>
        <w:rPr/>
        <w:t>Jika peneliti memiliki wewenang akademik, supervisi, pekerjaan, profesional, atau wewenang lainnya terhadap calon peserta, peneliti akan mengambil langkah-langkah tambahan untuk meminimalkan risiko paksaan atau pengaruh yang tidak semestinya:</w:t>
      </w:r>
    </w:p>
    <w:p>
      <w:pPr>
        <w:pStyle w:val="BodyText"/>
        <w:numPr>
          <w:ilvl w:val="0"/>
          <w:numId w:val="3"/>
        </w:numPr>
        <w:tabs>
          <w:tab w:val="clear" w:pos="709"/>
          <w:tab w:val="left" w:pos="0" w:leader="none"/>
        </w:tabs>
        <w:ind w:hanging="283" w:start="709"/>
        <w:rPr/>
      </w:pPr>
      <w:r>
        <w:rPr/>
        <w:t>Jika memungkinkan, pihak ketiga yang independen dan tidak memiliki wewenang supervisi, pengajaran, penilaian, atau wewenang lainnya terhadap calon peserta akan mengelola proses perekrutan.</w:t>
      </w:r>
    </w:p>
    <w:p>
      <w:pPr>
        <w:pStyle w:val="BodyText"/>
        <w:numPr>
          <w:ilvl w:val="0"/>
          <w:numId w:val="3"/>
        </w:numPr>
        <w:tabs>
          <w:tab w:val="clear" w:pos="709"/>
          <w:tab w:val="left" w:pos="0" w:leader="none"/>
        </w:tabs>
        <w:ind w:hanging="283" w:start="709"/>
        <w:rPr/>
      </w:pPr>
      <w:r>
        <w:rPr/>
        <w:t>Peneliti yang memiliki wewenang terhadap calon peserta tidak akan menekan atau secara pribadi mendorong mereka untuk berpartisipasi.</w:t>
      </w:r>
    </w:p>
    <w:p>
      <w:pPr>
        <w:pStyle w:val="BodyText"/>
        <w:numPr>
          <w:ilvl w:val="0"/>
          <w:numId w:val="3"/>
        </w:numPr>
        <w:tabs>
          <w:tab w:val="clear" w:pos="709"/>
          <w:tab w:val="left" w:pos="0" w:leader="none"/>
        </w:tabs>
        <w:ind w:hanging="283" w:start="709"/>
        <w:rPr/>
      </w:pPr>
      <w:r>
        <w:rPr/>
        <w:t>Materi perekrutan dan informed consent akan menyatakan dengan jelas bahwa keputusan untuk berpartisipasi, tidak berpartisipasi, atau mengundurkan diri tidak akan memengaruhi status akademik, nilai, penilaian, pekerjaan, evaluasi kinerja, perkembangan karier, akses terhadap layanan, atau hubungan peserta dengan institusi.</w:t>
      </w:r>
    </w:p>
    <w:p>
      <w:pPr>
        <w:pStyle w:val="BodyText"/>
        <w:numPr>
          <w:ilvl w:val="0"/>
          <w:numId w:val="3"/>
        </w:numPr>
        <w:tabs>
          <w:tab w:val="clear" w:pos="709"/>
          <w:tab w:val="left" w:pos="0" w:leader="none"/>
        </w:tabs>
        <w:ind w:hanging="283" w:start="709"/>
        <w:rPr/>
      </w:pPr>
      <w:r>
        <w:rPr/>
        <w:t>Jika memungkinkan, peneliti tidak akan mengetahui identitas orang yang memilih untuk tidak berpartisipasi.</w:t>
      </w:r>
    </w:p>
    <w:p>
      <w:pPr>
        <w:pStyle w:val="Heading4"/>
        <w:numPr>
          <w:ilvl w:val="0"/>
          <w:numId w:val="0"/>
        </w:numPr>
        <w:ind w:hanging="0" w:start="0"/>
        <w:rPr/>
      </w:pPr>
      <w:r>
        <w:rPr/>
        <w:t>Kerahasiaan, De-identifikasi, dan Keamanan Data</w:t>
      </w:r>
    </w:p>
    <w:p>
      <w:pPr>
        <w:pStyle w:val="BodyText"/>
        <w:rPr/>
      </w:pPr>
      <w:r>
        <w:rPr/>
        <w:t>Peneliti akan melindungi privasi dan kerahasiaan peserta selama seluruh proses penelitian. Peneliti akan:</w:t>
      </w:r>
    </w:p>
    <w:p>
      <w:pPr>
        <w:pStyle w:val="BodyText"/>
        <w:numPr>
          <w:ilvl w:val="0"/>
          <w:numId w:val="4"/>
        </w:numPr>
        <w:tabs>
          <w:tab w:val="clear" w:pos="709"/>
          <w:tab w:val="left" w:pos="0" w:leader="none"/>
        </w:tabs>
        <w:ind w:hanging="283" w:start="709"/>
        <w:rPr/>
      </w:pPr>
      <w:r>
        <w:rPr/>
        <w:t>mengumpulkan dan menyimpan data penelitian menggunakan sistem dan perangkat yang aman dan hanya dapat diakses oleh anggota tim penelitian yang berwenang;</w:t>
      </w:r>
    </w:p>
    <w:p>
      <w:pPr>
        <w:pStyle w:val="BodyText"/>
        <w:numPr>
          <w:ilvl w:val="0"/>
          <w:numId w:val="4"/>
        </w:numPr>
        <w:tabs>
          <w:tab w:val="clear" w:pos="709"/>
          <w:tab w:val="left" w:pos="0" w:leader="none"/>
        </w:tabs>
        <w:ind w:hanging="283" w:start="709"/>
        <w:rPr/>
      </w:pPr>
      <w:r>
        <w:rPr/>
        <w:t>memberi tahu peserta tentang perekaman audio atau video sebelum meminta persetujuan mereka;</w:t>
      </w:r>
    </w:p>
    <w:p>
      <w:pPr>
        <w:pStyle w:val="BodyText"/>
        <w:numPr>
          <w:ilvl w:val="0"/>
          <w:numId w:val="4"/>
        </w:numPr>
        <w:tabs>
          <w:tab w:val="clear" w:pos="709"/>
          <w:tab w:val="left" w:pos="0" w:leader="none"/>
        </w:tabs>
        <w:ind w:hanging="283" w:start="709"/>
        <w:rPr/>
      </w:pPr>
      <w:r>
        <w:rPr/>
        <w:t>memindahkan hasil rekaman sesegera mungkin ke tempat penyimpanan yang aman dan dilindungi kata sandi;</w:t>
      </w:r>
    </w:p>
    <w:p>
      <w:pPr>
        <w:pStyle w:val="BodyText"/>
        <w:numPr>
          <w:ilvl w:val="0"/>
          <w:numId w:val="4"/>
        </w:numPr>
        <w:tabs>
          <w:tab w:val="clear" w:pos="709"/>
          <w:tab w:val="left" w:pos="0" w:leader="none"/>
        </w:tabs>
        <w:ind w:hanging="283" w:start="709"/>
        <w:rPr/>
      </w:pPr>
      <w:r>
        <w:rPr/>
        <w:t>menghapus nama, nomor mahasiswa atau pegawai, dan informasi lain yang secara langsung dapat mengidentifikasi peserta ketika membuat transkrip dan menyiapkan data untuk dianalisis;</w:t>
      </w:r>
    </w:p>
    <w:p>
      <w:pPr>
        <w:pStyle w:val="BodyText"/>
        <w:numPr>
          <w:ilvl w:val="0"/>
          <w:numId w:val="4"/>
        </w:numPr>
        <w:tabs>
          <w:tab w:val="clear" w:pos="709"/>
          <w:tab w:val="left" w:pos="0" w:leader="none"/>
        </w:tabs>
        <w:ind w:hanging="283" w:start="709"/>
        <w:rPr/>
      </w:pPr>
      <w:r>
        <w:rPr/>
        <w:t>menghapus atau membuat lebih umum informasi tentang organisasi, lokasi, mata kuliah, jabatan, atau rincian lain yang dapat digunakan untuk mengidentifikasi peserta;</w:t>
      </w:r>
    </w:p>
    <w:p>
      <w:pPr>
        <w:pStyle w:val="BodyText"/>
        <w:numPr>
          <w:ilvl w:val="0"/>
          <w:numId w:val="4"/>
        </w:numPr>
        <w:tabs>
          <w:tab w:val="clear" w:pos="709"/>
          <w:tab w:val="left" w:pos="0" w:leader="none"/>
        </w:tabs>
        <w:ind w:hanging="283" w:start="709"/>
        <w:rPr/>
      </w:pPr>
      <w:r>
        <w:rPr/>
        <w:t>menyimpan secara terpisah dan aman setiap dokumen yang menghubungkan kode peserta dengan identitas peserta, dan memusnahkannya ketika tidak lagi diperlukan;</w:t>
      </w:r>
    </w:p>
    <w:p>
      <w:pPr>
        <w:pStyle w:val="BodyText"/>
        <w:numPr>
          <w:ilvl w:val="0"/>
          <w:numId w:val="4"/>
        </w:numPr>
        <w:tabs>
          <w:tab w:val="clear" w:pos="709"/>
          <w:tab w:val="left" w:pos="0" w:leader="none"/>
        </w:tabs>
        <w:ind w:hanging="283" w:start="709"/>
        <w:rPr/>
      </w:pPr>
      <w:r>
        <w:rPr/>
        <w:t>menghapus rekaman asli secara aman dan permanen setelah memeriksa transkrip dan ketika rekaman tersebut tidak lagi diperlukan, sesuai dengan ketentuan institusi mengenai penyimpanan data; dan</w:t>
      </w:r>
    </w:p>
    <w:p>
      <w:pPr>
        <w:pStyle w:val="BodyText"/>
        <w:numPr>
          <w:ilvl w:val="0"/>
          <w:numId w:val="4"/>
        </w:numPr>
        <w:tabs>
          <w:tab w:val="clear" w:pos="709"/>
          <w:tab w:val="left" w:pos="0" w:leader="none"/>
        </w:tabs>
        <w:ind w:hanging="283" w:start="709"/>
        <w:rPr/>
      </w:pPr>
      <w:r>
        <w:rPr/>
        <w:t>memastikan bahwa dataset akhir yang digunakan untuk analisis tidak memuat informasi yang dapat digunakan untuk mengidentifikasi peserta secara wajar.</w:t>
      </w:r>
    </w:p>
    <w:p>
      <w:pPr>
        <w:pStyle w:val="BodyText"/>
        <w:rPr/>
      </w:pPr>
      <w:r>
        <w:rPr/>
      </w:r>
    </w:p>
    <w:p>
      <w:pPr>
        <w:pStyle w:val="BodyText"/>
        <w:rPr/>
      </w:pPr>
      <w:r>
        <w:rPr/>
        <w:t xml:space="preserve">Dalam focus group, peneliti tidak dapat menjamin bahwa peserta akan menjaga kerahasiaan informasi yang disampaikan selama diskusi. </w:t>
      </w:r>
      <w:r>
        <w:rPr/>
        <w:t>D</w:t>
      </w:r>
      <w:r>
        <w:rPr/>
        <w:t xml:space="preserve">i awal sesi </w:t>
      </w:r>
      <w:r>
        <w:rPr/>
        <w:t>p</w:t>
      </w:r>
      <w:r>
        <w:rPr/>
        <w:t>eneliti meminta semua peserta untuk tidak menyebarkan informasi apa pun yang dapat mengungkap identitas peserta lain di luar forum diskusi.</w:t>
      </w:r>
    </w:p>
    <w:p>
      <w:pPr>
        <w:pStyle w:val="Heading4"/>
        <w:numPr>
          <w:ilvl w:val="3"/>
          <w:numId w:val="1"/>
        </w:numPr>
        <w:rPr/>
      </w:pPr>
      <w:r>
        <w:rPr/>
        <w:t>Pelaporan Hasil Penelitian</w:t>
      </w:r>
    </w:p>
    <w:p>
      <w:pPr>
        <w:pStyle w:val="BodyText"/>
        <w:rPr/>
      </w:pPr>
      <w:r>
        <w:rPr/>
        <w:t>Peneliti akan melindungi identitas peserta ketika melaporkan hasil penelitian. Jika diperlukan, peneliti akan menghapus atau mengubah rincian yang dapat mengidentifikasi seseorang sehingga pembaca tidak dapat secara wajar mengenali peserta atau orang lain.</w:t>
      </w:r>
    </w:p>
    <w:p>
      <w:pPr>
        <w:pStyle w:val="BodyText"/>
        <w:rPr/>
      </w:pPr>
      <w:r>
        <w:rPr/>
        <w:t>Peneliti hanya akan memasukkan informasi yang telah di-de-identifikasi dalam laporan, tesis, presentasi, publikasi, atau bentuk penyebarluasan hasil penelitian lainnya.</w:t>
      </w:r>
    </w:p>
    <w:p>
      <w:pPr>
        <w:pStyle w:val="BodyText"/>
        <w:bidi w:val="0"/>
        <w:rPr>
          <w:lang w:val="en-US"/>
        </w:rPr>
      </w:pPr>
      <w:r>
        <w:rPr>
          <w:lang w:val="en-US"/>
        </w:rPr>
      </w:r>
    </w:p>
    <w:sectPr>
      <w:footerReference w:type="even" r:id="rId2"/>
      <w:footerReference w:type="default" r:id="rId3"/>
      <w:footerReference w:type="first" r:id="rId4"/>
      <w:footnotePr>
        <w:numFmt w:val="decimal"/>
      </w:footnotePr>
      <w:type w:val="nextPage"/>
      <w:pgSz w:w="11906" w:h="16838"/>
      <w:pgMar w:left="1474" w:right="1474" w:gutter="0" w:header="0" w:top="1474" w:footer="1474" w:bottom="2026"/>
      <w:pgNumType w:fmt="decimal"/>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swiss"/>
    <w:pitch w:val="variable"/>
  </w:font>
  <w:font w:name="OpenSymbol">
    <w:altName w:val="Arial Unicode MS"/>
    <w:charset w:val="02"/>
    <w:family w:val="roman"/>
    <w:pitch w:val="variable"/>
  </w:font>
  <w:font w:name="Liberation Sans">
    <w:altName w:val="Arial"/>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bookmarkStart w:id="0" w:name="PageNumWizard_FOOTER_Default_Page_Style1"/>
    <w:r>
      <w:rPr/>
      <w:fldChar w:fldCharType="begin"/>
    </w:r>
    <w:r>
      <w:rPr/>
      <w:instrText xml:space="preserve"> PAGE </w:instrText>
    </w:r>
    <w:r>
      <w:rPr/>
      <w:fldChar w:fldCharType="separate"/>
    </w:r>
    <w:r>
      <w:rPr/>
      <w:t>1</w:t>
    </w:r>
    <w:r>
      <w:rPr/>
      <w:fldChar w:fldCharType="end"/>
    </w:r>
    <w:bookmarkEnd w:id="0"/>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bookmarkStart w:id="1" w:name="PageNumWizard_FOOTER_Default_Page_Style1"/>
    <w:r>
      <w:rPr/>
      <w:fldChar w:fldCharType="begin"/>
    </w:r>
    <w:r>
      <w:rPr/>
      <w:instrText xml:space="preserve"> PAGE </w:instrText>
    </w:r>
    <w:r>
      <w:rPr/>
      <w:fldChar w:fldCharType="separate"/>
    </w:r>
    <w:r>
      <w:rPr/>
      <w:t>1</w:t>
    </w:r>
    <w:r>
      <w:rPr/>
      <w:fldChar w:fldCharType="end"/>
    </w:r>
    <w:bookmarkEnd w:id="1"/>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rPr/>
      </w:pPr>
      <w:r>
        <w:rPr>
          <w:rStyle w:val="FootnoteCharacters"/>
        </w:rPr>
        <w:footnoteRef/>
      </w:r>
      <w:r>
        <w:rPr/>
        <w:t xml:space="preserve"> </w:t>
      </w:r>
      <w:r>
        <w:rPr/>
        <w:t xml:space="preserve">IRB dapat membebaskan persyaratan persetujuan tertulis, misalnya apabila penelitian hanya menimbulkan risiko minimal dan biasanya tidak memerlukan persetujuan tertulis di luar konteks penelitian (45 CFR 46.117(c)). Namun demikian, IRB tetap akan mensyaratkan adanya persetujuan lisan. </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0"/>
        </w:tabs>
        <w:ind w:start="432" w:hanging="432"/>
      </w:pPr>
      <w:rPr/>
    </w:lvl>
    <w:lvl w:ilvl="1">
      <w:start w:val="1"/>
      <w:numFmt w:val="none"/>
      <w:suff w:val="nothing"/>
      <w:lvlText w:val="%2"/>
      <w:lvlJc w:val="start"/>
      <w:pPr>
        <w:tabs>
          <w:tab w:val="num" w:pos="0"/>
        </w:tabs>
        <w:ind w:start="576" w:hanging="576"/>
      </w:pPr>
      <w:rPr/>
    </w:lvl>
    <w:lvl w:ilvl="2">
      <w:start w:val="1"/>
      <w:numFmt w:val="none"/>
      <w:suff w:val="nothing"/>
      <w:lvlText w:val="%3"/>
      <w:lvlJc w:val="start"/>
      <w:pPr>
        <w:tabs>
          <w:tab w:val="num" w:pos="0"/>
        </w:tabs>
        <w:ind w:start="720" w:hanging="720"/>
      </w:pPr>
      <w:rPr/>
    </w:lvl>
    <w:lvl w:ilvl="3">
      <w:start w:val="1"/>
      <w:numFmt w:val="none"/>
      <w:suff w:val="nothing"/>
      <w:lvlText w:val="%4"/>
      <w:lvlJc w:val="start"/>
      <w:pPr>
        <w:tabs>
          <w:tab w:val="num" w:pos="0"/>
        </w:tabs>
        <w:ind w:start="864" w:hanging="864"/>
      </w:pPr>
      <w:rPr/>
    </w:lvl>
    <w:lvl w:ilvl="4">
      <w:start w:val="1"/>
      <w:numFmt w:val="none"/>
      <w:suff w:val="nothing"/>
      <w:lvlText w:val="%5"/>
      <w:lvlJc w:val="start"/>
      <w:pPr>
        <w:tabs>
          <w:tab w:val="num" w:pos="0"/>
        </w:tabs>
        <w:ind w:start="1008" w:hanging="1008"/>
      </w:pPr>
      <w:rPr/>
    </w:lvl>
    <w:lvl w:ilvl="5">
      <w:start w:val="1"/>
      <w:numFmt w:val="none"/>
      <w:suff w:val="nothing"/>
      <w:lvlText w:val="%6"/>
      <w:lvlJc w:val="start"/>
      <w:pPr>
        <w:tabs>
          <w:tab w:val="num" w:pos="0"/>
        </w:tabs>
        <w:ind w:start="1152" w:hanging="1152"/>
      </w:pPr>
      <w:rPr/>
    </w:lvl>
    <w:lvl w:ilvl="6">
      <w:start w:val="1"/>
      <w:numFmt w:val="none"/>
      <w:suff w:val="nothing"/>
      <w:lvlText w:val="%7"/>
      <w:lvlJc w:val="start"/>
      <w:pPr>
        <w:tabs>
          <w:tab w:val="num" w:pos="0"/>
        </w:tabs>
        <w:ind w:start="1296" w:hanging="1296"/>
      </w:pPr>
      <w:rPr/>
    </w:lvl>
    <w:lvl w:ilvl="7">
      <w:start w:val="1"/>
      <w:numFmt w:val="none"/>
      <w:suff w:val="nothing"/>
      <w:lvlText w:val="%8"/>
      <w:lvlJc w:val="start"/>
      <w:pPr>
        <w:tabs>
          <w:tab w:val="num" w:pos="0"/>
        </w:tabs>
        <w:ind w:start="1440" w:hanging="1440"/>
      </w:pPr>
      <w:rPr/>
    </w:lvl>
    <w:lvl w:ilvl="8">
      <w:start w:val="1"/>
      <w:numFmt w:val="none"/>
      <w:suff w:val="nothing"/>
      <w:lvlText w:val="%9"/>
      <w:lvlJc w:val="start"/>
      <w:pPr>
        <w:tabs>
          <w:tab w:val="num" w:pos="0"/>
        </w:tabs>
        <w:ind w:start="1584" w:hanging="1584"/>
      </w:pPr>
      <w:rPr/>
    </w:lvl>
  </w:abstractNum>
  <w:abstractNum w:abstractNumId="2">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9"/>
  <w:autoHyphenation w:val="true"/>
  <w:hyphenationZone w:val="0"/>
  <w:footnotePr>
    <w:numFmt w:val="decimal"/>
    <w:footnote w:id="0"/>
    <w:footnote w:id="1"/>
  </w:footnotePr>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urce Han Sans CN Regular" w:cs="Lohit Devanagari"/>
        <w:kern w:val="2"/>
        <w:sz w:val="24"/>
        <w:szCs w:val="24"/>
        <w:lang w:val="en-US" w:eastAsia="en-AU" w:bidi="en-AU"/>
      </w:rPr>
    </w:rPrDefault>
    <w:pPrDefault>
      <w:pPr>
        <w:suppressAutoHyphens w:val="true"/>
      </w:pPr>
    </w:pPrDefault>
  </w:docDefaults>
  <w:style w:type="paragraph" w:styleId="Normal">
    <w:name w:val="Normal"/>
    <w:qFormat/>
    <w:pPr>
      <w:widowControl w:val="false"/>
      <w:suppressAutoHyphens w:val="true"/>
      <w:overflowPunct w:val="false"/>
      <w:bidi w:val="0"/>
      <w:spacing w:before="0" w:after="0"/>
      <w:jc w:val="start"/>
    </w:pPr>
    <w:rPr>
      <w:rFonts w:ascii="Calibri" w:hAnsi="Calibri" w:eastAsia="Source Han Sans CN Regular" w:cs="Lohit Devanagari"/>
      <w:color w:val="auto"/>
      <w:kern w:val="2"/>
      <w:sz w:val="22"/>
      <w:szCs w:val="24"/>
      <w:lang w:val="en-US" w:eastAsia="en-AU" w:bidi="en-AU"/>
    </w:rPr>
  </w:style>
  <w:style w:type="paragraph" w:styleId="Heading1">
    <w:name w:val="heading 1"/>
    <w:basedOn w:val="Heading"/>
    <w:next w:val="BodyText"/>
    <w:qFormat/>
    <w:pPr>
      <w:numPr>
        <w:ilvl w:val="0"/>
        <w:numId w:val="1"/>
      </w:numPr>
      <w:spacing w:before="240" w:after="120"/>
      <w:jc w:val="center"/>
      <w:outlineLvl w:val="0"/>
    </w:pPr>
    <w:rPr>
      <w:rFonts w:ascii="Calibri" w:hAnsi="Calibri"/>
      <w:b/>
      <w:bCs/>
      <w:sz w:val="28"/>
      <w:szCs w:val="36"/>
    </w:rPr>
  </w:style>
  <w:style w:type="paragraph" w:styleId="Heading2">
    <w:name w:val="heading 2"/>
    <w:basedOn w:val="Heading"/>
    <w:next w:val="BodyText"/>
    <w:qFormat/>
    <w:pPr>
      <w:numPr>
        <w:ilvl w:val="1"/>
        <w:numId w:val="1"/>
      </w:numPr>
      <w:spacing w:before="200" w:after="120"/>
      <w:outlineLvl w:val="1"/>
    </w:pPr>
    <w:rPr>
      <w:rFonts w:ascii="Calibri" w:hAnsi="Calibri"/>
      <w:b/>
      <w:bCs/>
      <w:sz w:val="28"/>
      <w:szCs w:val="32"/>
    </w:rPr>
  </w:style>
  <w:style w:type="paragraph" w:styleId="Heading3">
    <w:name w:val="heading 3"/>
    <w:basedOn w:val="Heading"/>
    <w:next w:val="BodyText"/>
    <w:qFormat/>
    <w:pPr>
      <w:numPr>
        <w:ilvl w:val="2"/>
        <w:numId w:val="1"/>
      </w:numPr>
      <w:spacing w:before="140" w:after="120"/>
      <w:outlineLvl w:val="2"/>
    </w:pPr>
    <w:rPr>
      <w:rFonts w:ascii="Calibri" w:hAnsi="Calibri"/>
      <w:b/>
      <w:bCs/>
      <w:sz w:val="28"/>
      <w:szCs w:val="28"/>
    </w:rPr>
  </w:style>
  <w:style w:type="paragraph" w:styleId="Heading4">
    <w:name w:val="heading 4"/>
    <w:basedOn w:val="Heading"/>
    <w:next w:val="BodyText"/>
    <w:qFormat/>
    <w:pPr>
      <w:numPr>
        <w:ilvl w:val="3"/>
        <w:numId w:val="1"/>
      </w:numPr>
      <w:spacing w:before="283" w:after="0"/>
      <w:ind w:hanging="0" w:start="0"/>
      <w:outlineLvl w:val="3"/>
    </w:pPr>
    <w:rPr>
      <w:rFonts w:ascii="Calibri" w:hAnsi="Calibri"/>
      <w:b/>
      <w:bCs/>
      <w:i w:val="false"/>
      <w:iCs/>
      <w:sz w:val="22"/>
      <w:szCs w:val="27"/>
      <w:lang w:val="en-US"/>
    </w:rPr>
  </w:style>
  <w:style w:type="paragraph" w:styleId="Heading5">
    <w:name w:val="heading 5"/>
    <w:basedOn w:val="Heading"/>
    <w:next w:val="BodyText"/>
    <w:qFormat/>
    <w:pPr>
      <w:numPr>
        <w:ilvl w:val="4"/>
        <w:numId w:val="1"/>
      </w:numPr>
      <w:spacing w:before="120" w:after="60"/>
      <w:outlineLvl w:val="4"/>
    </w:pPr>
    <w:rPr>
      <w:b/>
      <w:bCs/>
      <w:sz w:val="24"/>
      <w:szCs w:val="24"/>
    </w:rPr>
  </w:style>
  <w:style w:type="paragraph" w:styleId="Heading6">
    <w:name w:val="heading 6"/>
    <w:basedOn w:val="Heading"/>
    <w:next w:val="BodyText"/>
    <w:qFormat/>
    <w:pPr>
      <w:numPr>
        <w:ilvl w:val="5"/>
        <w:numId w:val="1"/>
      </w:numPr>
      <w:spacing w:before="60" w:after="60"/>
      <w:outlineLvl w:val="5"/>
    </w:pPr>
    <w:rPr>
      <w:b/>
      <w:bCs/>
      <w:i/>
      <w:iCs/>
      <w:sz w:val="24"/>
      <w:szCs w:val="24"/>
    </w:rPr>
  </w:style>
  <w:style w:type="paragraph" w:styleId="Heading7">
    <w:name w:val="heading 7"/>
    <w:basedOn w:val="Heading"/>
    <w:next w:val="BodyText"/>
    <w:qFormat/>
    <w:pPr>
      <w:numPr>
        <w:ilvl w:val="6"/>
        <w:numId w:val="1"/>
      </w:numPr>
      <w:spacing w:before="60" w:after="60"/>
      <w:outlineLvl w:val="6"/>
    </w:pPr>
    <w:rPr>
      <w:b/>
      <w:bCs/>
      <w:sz w:val="22"/>
      <w:szCs w:val="22"/>
    </w:rPr>
  </w:style>
  <w:style w:type="character" w:styleId="NumberingSymbols">
    <w:name w:val="Numbering Symbols"/>
    <w:qFormat/>
    <w:rPr/>
  </w:style>
  <w:style w:type="character" w:styleId="Bulletsuser">
    <w:name w:val="Bullets (user)"/>
    <w:qFormat/>
    <w:rPr>
      <w:rFonts w:ascii="OpenSymbol" w:hAnsi="OpenSymbol" w:eastAsia="OpenSymbol" w:cs="OpenSymbol"/>
    </w:rPr>
  </w:style>
  <w:style w:type="character" w:styleId="Bullets">
    <w:name w:val="Bullets"/>
    <w:qFormat/>
    <w:rPr>
      <w:rFonts w:ascii="OpenSymbol" w:hAnsi="OpenSymbol" w:eastAsia="OpenSymbol" w:cs="OpenSymbol"/>
    </w:rPr>
  </w:style>
  <w:style w:type="character" w:styleId="Strong">
    <w:name w:val="Strong"/>
    <w:qFormat/>
    <w:rPr>
      <w:b/>
      <w:bCs/>
    </w:rPr>
  </w:style>
  <w:style w:type="character" w:styleId="Emphasis">
    <w:name w:val="Emphasis"/>
    <w:qFormat/>
    <w:rPr>
      <w:i/>
      <w:iCs/>
    </w:rPr>
  </w:style>
  <w:style w:type="character" w:styleId="FootnoteReference">
    <w:name w:val="footnote reference"/>
    <w:rPr>
      <w:vertAlign w:val="superscript"/>
    </w:rPr>
  </w:style>
  <w:style w:type="character" w:styleId="FootnoteCharacters">
    <w:name w:val="Footnote Characters"/>
    <w:qFormat/>
    <w:rPr/>
  </w:style>
  <w:style w:type="character" w:styleId="EndnoteReference">
    <w:name w:val="endnote reference"/>
    <w:rPr>
      <w:vertAlign w:val="superscript"/>
    </w:rPr>
  </w:style>
  <w:style w:type="character" w:styleId="EndnoteCharacters">
    <w:name w:val="Endnote Characters"/>
    <w:qFormat/>
    <w:rPr/>
  </w:style>
  <w:style w:type="paragraph" w:styleId="Heading">
    <w:name w:val="Heading"/>
    <w:basedOn w:val="Normal"/>
    <w:next w:val="BodyText"/>
    <w:qFormat/>
    <w:pPr>
      <w:keepNext w:val="true"/>
      <w:spacing w:before="240" w:after="120"/>
    </w:pPr>
    <w:rPr>
      <w:rFonts w:ascii="Liberation Sans" w:hAnsi="Liberation Sans" w:eastAsia="Source Han Sans CN Regular" w:cs="Lohit Devanagari"/>
      <w:sz w:val="28"/>
      <w:szCs w:val="28"/>
    </w:rPr>
  </w:style>
  <w:style w:type="paragraph" w:styleId="BodyText">
    <w:name w:val="Body Text"/>
    <w:basedOn w:val="Normal"/>
    <w:pPr>
      <w:spacing w:lineRule="auto" w:line="240" w:before="0" w:after="0"/>
    </w:pPr>
    <w:rPr>
      <w:rFonts w:ascii="Calibri" w:hAnsi="Calibri"/>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BlockQuotationuser">
    <w:name w:val="Block Quotation (user)"/>
    <w:basedOn w:val="Normal"/>
    <w:qFormat/>
    <w:pPr>
      <w:spacing w:before="0" w:after="283"/>
      <w:ind w:hanging="0" w:start="567" w:end="567"/>
    </w:pPr>
    <w:rPr/>
  </w:style>
  <w:style w:type="paragraph" w:styleId="Title">
    <w:name w:val="Title"/>
    <w:basedOn w:val="Heading"/>
    <w:next w:val="BodyText"/>
    <w:qFormat/>
    <w:pPr>
      <w:jc w:val="center"/>
    </w:pPr>
    <w:rPr>
      <w:b/>
      <w:bCs/>
      <w:sz w:val="56"/>
      <w:szCs w:val="56"/>
    </w:rPr>
  </w:style>
  <w:style w:type="paragraph" w:styleId="Subtitle">
    <w:name w:val="Subtitle"/>
    <w:basedOn w:val="Heading"/>
    <w:next w:val="BodyText"/>
    <w:qFormat/>
    <w:pPr>
      <w:spacing w:before="60" w:after="120"/>
      <w:jc w:val="center"/>
    </w:pPr>
    <w:rPr>
      <w:sz w:val="36"/>
      <w:szCs w:val="36"/>
    </w:rPr>
  </w:style>
  <w:style w:type="paragraph" w:styleId="HeaderandFooter">
    <w:name w:val="Header and Footer"/>
    <w:basedOn w:val="Normal"/>
    <w:qFormat/>
    <w:pPr>
      <w:suppressLineNumbers/>
      <w:tabs>
        <w:tab w:val="clear" w:pos="709"/>
        <w:tab w:val="center" w:pos="4479" w:leader="none"/>
        <w:tab w:val="right" w:pos="8958" w:leader="none"/>
      </w:tabs>
    </w:pPr>
    <w:rPr/>
  </w:style>
  <w:style w:type="paragraph" w:styleId="Footer">
    <w:name w:val="footer"/>
    <w:basedOn w:val="HeaderandFooter"/>
    <w:pPr>
      <w:suppressLineNumbers/>
    </w:pPr>
    <w:rPr/>
  </w:style>
  <w:style w:type="paragraph" w:styleId="FootnoteText">
    <w:name w:val="footnote text"/>
    <w:basedOn w:val="Normal"/>
    <w:pPr>
      <w:suppressLineNumbers/>
      <w:ind w:hanging="340" w:start="340"/>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default</Template>
  <TotalTime>33</TotalTime>
  <Application>LibreOffice/26.2.5.2$Windows_X86_64 LibreOffice_project/cd7284b4cbbfeb507e630c1aac019f4157393acb</Application>
  <AppVersion>15.0000</AppVersion>
  <Pages>3</Pages>
  <Words>638</Words>
  <Characters>4364</Characters>
  <CharactersWithSpaces>4935</CharactersWithSpaces>
  <Paragraphs>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2026-09-01T14:49:37Z</dcterms:created>
  <dc:creator/>
  <dc:description/>
  <dc:language>en-AU</dc:language>
  <cp:lastModifiedBy/>
  <dcterms:modified xsi:type="dcterms:W3CDTF">2026-09-02T10:48:22Z</dcterms:modified>
  <cp:revision>13</cp:revision>
  <dc:subject/>
  <dc:title>default</dc:title>
</cp:coreProperties>
</file>

<file path=docProps/custom.xml><?xml version="1.0" encoding="utf-8"?>
<Properties xmlns="http://schemas.openxmlformats.org/officeDocument/2006/custom-properties" xmlns:vt="http://schemas.openxmlformats.org/officeDocument/2006/docPropsVTypes"/>
</file>